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25.07.2019 N 356</w:t>
              <w:br/>
              <w:t xml:space="preserve">(ред. от 28.12.2024)</w:t>
              <w:br/>
              <w:t xml:space="preserve">"О мерах по развитию синхротронных и нейтронных исследований и исследовательской инфраструктуры в Российской Федерации"</w:t>
              <w:br/>
              <w:t xml:space="preserve">(вместе с "Положением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25 июля 2019 года</w:t>
            </w:r>
          </w:p>
        </w:tc>
        <w:tc>
          <w:tcPr>
            <w:tcW w:w="5103" w:type="dxa"/>
            <w:tcBorders>
              <w:top w:val="nil"/>
              <w:left w:val="nil"/>
              <w:bottom w:val="nil"/>
              <w:right w:val="nil"/>
            </w:tcBorders>
          </w:tcPr>
          <w:p>
            <w:pPr>
              <w:pStyle w:val="0"/>
              <w:outlineLvl w:val="0"/>
              <w:jc w:val="right"/>
            </w:pPr>
            <w:r>
              <w:rPr>
                <w:sz w:val="20"/>
              </w:rPr>
              <w:t xml:space="preserve">N 356</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РАЗВИТИЮ СИНХРОТРОННЫХ И НЕЙТРОННЫХ ИССЛЕДОВАНИЙ</w:t>
      </w:r>
    </w:p>
    <w:p>
      <w:pPr>
        <w:pStyle w:val="2"/>
        <w:jc w:val="center"/>
      </w:pPr>
      <w:r>
        <w:rPr>
          <w:sz w:val="20"/>
        </w:rPr>
        <w:t xml:space="preserve">И ИССЛЕДОВАТЕЛЬСКОЙ ИНФРАСТРУКТУРЫ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02.03.2020 </w:t>
            </w:r>
            <w:hyperlink w:history="0" r:id="rId8" w:tooltip="Указ Президента РФ от 02.03.2020 N 16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18.01.2021 </w:t>
            </w:r>
            <w:hyperlink w:history="0" r:id="rId9" w:tooltip="Указ Президента РФ от 18.01.2021 N 31 &quot;О внесении изменений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этого совета, утвержденные Указом Президента Российской Федерации от 25 июля 2019 г. N 356&quot; {КонсультантПлюс}">
              <w:r>
                <w:rPr>
                  <w:sz w:val="20"/>
                  <w:color w:val="0000ff"/>
                </w:rPr>
                <w:t xml:space="preserve">N 31</w:t>
              </w:r>
            </w:hyperlink>
            <w:r>
              <w:rPr>
                <w:sz w:val="20"/>
                <w:color w:val="392c69"/>
              </w:rPr>
              <w:t xml:space="preserve">, от 29.08.2022 </w:t>
            </w:r>
            <w:hyperlink w:history="0" r:id="rId10"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N 590</w:t>
              </w:r>
            </w:hyperlink>
            <w:r>
              <w:rPr>
                <w:sz w:val="20"/>
                <w:color w:val="392c69"/>
              </w:rPr>
              <w:t xml:space="preserve">, от 29.12.2022 </w:t>
            </w:r>
            <w:hyperlink w:history="0" r:id="rId11" w:tooltip="Указ Президента РФ от 29.12.2022 N 975 &quot;О внесении изменений в некоторые акты Президента Российской Федерации&quot; {КонсультантПлюс}">
              <w:r>
                <w:rPr>
                  <w:sz w:val="20"/>
                  <w:color w:val="0000ff"/>
                </w:rPr>
                <w:t xml:space="preserve">N 975</w:t>
              </w:r>
            </w:hyperlink>
            <w:r>
              <w:rPr>
                <w:sz w:val="20"/>
                <w:color w:val="392c69"/>
              </w:rPr>
              <w:t xml:space="preserve">,</w:t>
            </w:r>
          </w:p>
          <w:p>
            <w:pPr>
              <w:pStyle w:val="0"/>
              <w:jc w:val="center"/>
            </w:pPr>
            <w:r>
              <w:rPr>
                <w:sz w:val="20"/>
                <w:color w:val="392c69"/>
              </w:rPr>
              <w:t xml:space="preserve">от 20.07.2023 </w:t>
            </w:r>
            <w:hyperlink w:history="0" r:id="rId12" w:tooltip="Указ Президента РФ от 20.07.2023 N 542 &quot;О внесении изменений в некоторые акты Президента Российской Федерации&quot; {КонсультантПлюс}">
              <w:r>
                <w:rPr>
                  <w:sz w:val="20"/>
                  <w:color w:val="0000ff"/>
                </w:rPr>
                <w:t xml:space="preserve">N 542</w:t>
              </w:r>
            </w:hyperlink>
            <w:r>
              <w:rPr>
                <w:sz w:val="20"/>
                <w:color w:val="392c69"/>
              </w:rPr>
              <w:t xml:space="preserve">, от 22.11.2023 </w:t>
            </w:r>
            <w:hyperlink w:history="0" r:id="rId13"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N 877</w:t>
              </w:r>
            </w:hyperlink>
            <w:r>
              <w:rPr>
                <w:sz w:val="20"/>
                <w:color w:val="392c69"/>
              </w:rPr>
              <w:t xml:space="preserve">, от 28.12.2024 </w:t>
            </w:r>
            <w:hyperlink w:history="0" r:id="rId14" w:tooltip="Указ Президента РФ от 28.12.2024 N 112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1122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комплексного решения задач ускоренного развития синхротронных и нейтронных исследований, необходимых для создания прорывных технологий, а также обеспечения создания и развития исследовательской инфраструктуры в Российской Федерации постановляю:</w:t>
      </w:r>
    </w:p>
    <w:bookmarkStart w:id="17" w:name="P17"/>
    <w:bookmarkEnd w:id="17"/>
    <w:p>
      <w:pPr>
        <w:pStyle w:val="0"/>
        <w:spacing w:before="200" w:lineRule="auto"/>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в 3-месячный срок разработать и утвердить Федеральную научно-техническую программу развития синхротронных и нейтронных исследований и исследовательской инфраструктуры на период до 2030 года и дальнейшую перспективу (далее - Программа);</w:t>
      </w:r>
    </w:p>
    <w:p>
      <w:pPr>
        <w:pStyle w:val="0"/>
        <w:jc w:val="both"/>
      </w:pPr>
      <w:r>
        <w:rPr>
          <w:sz w:val="20"/>
        </w:rPr>
        <w:t xml:space="preserve">(в ред. </w:t>
      </w:r>
      <w:hyperlink w:history="0" r:id="rId15"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б) обеспечить при разработке и реализации Программы:</w:t>
      </w:r>
    </w:p>
    <w:p>
      <w:pPr>
        <w:pStyle w:val="0"/>
        <w:spacing w:before="200" w:lineRule="auto"/>
        <w:ind w:firstLine="540"/>
        <w:jc w:val="both"/>
      </w:pPr>
      <w:r>
        <w:rPr>
          <w:sz w:val="20"/>
        </w:rPr>
        <w:t xml:space="preserve">определение основных направлений исследований, касающихся решения принципиально новых фундаментальных и крупных прикладных задач в целях реализации приоритетных направлений научно-технологического развития и достижения национальных целей развития Российской Федерации;</w:t>
      </w:r>
    </w:p>
    <w:p>
      <w:pPr>
        <w:pStyle w:val="0"/>
        <w:spacing w:before="200" w:lineRule="auto"/>
        <w:ind w:firstLine="540"/>
        <w:jc w:val="both"/>
      </w:pPr>
      <w:r>
        <w:rPr>
          <w:sz w:val="20"/>
        </w:rPr>
        <w:t xml:space="preserve">взаимодействие и координацию деятельности Министерства науки и высшего образования Российской Федерации, Министерства промышленности и торговли Российской Федерации, Министерства иностранных дел Российской Федерации, Министерства здравоохранения Российской Федерации, Министерства экономического развития Российской Федерации, органов исполнительной власти субъектов Российской Федерации, федерального государственного бюджетного учреждения "Российская академия наук", Государственной корпорации по атомной энергии "Росатом", федерального государственного бюджетного учреждения "Национальный исследовательский центр "Курчатовский институт", фондов поддержки научной, научно-технической, инновационной деятельности, а также институтов развития и других организаций;</w:t>
      </w:r>
    </w:p>
    <w:p>
      <w:pPr>
        <w:pStyle w:val="0"/>
        <w:spacing w:before="200" w:lineRule="auto"/>
        <w:ind w:firstLine="540"/>
        <w:jc w:val="both"/>
      </w:pPr>
      <w:r>
        <w:rPr>
          <w:sz w:val="20"/>
        </w:rPr>
        <w:t xml:space="preserve">создание и развитие исследовательской инфраструктуры, включая проектирование, строительство и техническую эксплуатацию (с соблюдением нормативных требований безопасности) уникальных научных установок класса "мегасайенс": источника синхротронного излучения поколения 4+ (Новосибирская область), Международного центра нейтронных исследований на базе высокопоточного реактора ПИК (г. Гатчина Ленинградской области), уникальной научной установки класса "мегасайенс" (о. Русский); модернизацию Курчатовского специализированного источника синхротронного излучения "КИСИ-Курчатов" (г. Москва);</w:t>
      </w:r>
    </w:p>
    <w:p>
      <w:pPr>
        <w:pStyle w:val="0"/>
        <w:jc w:val="both"/>
      </w:pPr>
      <w:r>
        <w:rPr>
          <w:sz w:val="20"/>
        </w:rPr>
        <w:t xml:space="preserve">(в ред. </w:t>
      </w:r>
      <w:hyperlink w:history="0" r:id="rId16"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22.11.2023 N 877)</w:t>
      </w:r>
    </w:p>
    <w:p>
      <w:pPr>
        <w:pStyle w:val="0"/>
        <w:spacing w:before="200" w:lineRule="auto"/>
        <w:ind w:firstLine="540"/>
        <w:jc w:val="both"/>
      </w:pPr>
      <w:r>
        <w:rPr>
          <w:sz w:val="20"/>
        </w:rPr>
        <w:t xml:space="preserve">создание условий для развития ускорительных и реакторных технологий, а также отечественной приборно-инструментальной базы для оснащения экспериментальных станций на создаваемых уникальных научных установках класса "мегасайенс";</w:t>
      </w:r>
    </w:p>
    <w:p>
      <w:pPr>
        <w:pStyle w:val="0"/>
        <w:spacing w:before="200" w:lineRule="auto"/>
        <w:ind w:firstLine="540"/>
        <w:jc w:val="both"/>
      </w:pPr>
      <w:r>
        <w:rPr>
          <w:sz w:val="20"/>
        </w:rPr>
        <w:t xml:space="preserve">согласование сроков реализации и вопросов финансирования мероприятий, предусмотренных Программой, и мероприятий, реализуемых в рамках государственных программ Российской Федерации, национального проекта "Наука и университеты", федеральных целевых программ и направленных на создание и развитие исследовательской инфраструктуры, с учетом ввода в эксплуатацию отдельных элементов уникальных научных установок класса "мегасайенс";</w:t>
      </w:r>
    </w:p>
    <w:p>
      <w:pPr>
        <w:pStyle w:val="0"/>
        <w:jc w:val="both"/>
      </w:pPr>
      <w:r>
        <w:rPr>
          <w:sz w:val="20"/>
        </w:rPr>
        <w:t xml:space="preserve">(в ред. </w:t>
      </w:r>
      <w:hyperlink w:history="0" r:id="rId17"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подготовку специалистов в области разработки, проектирования и строительства источников синхротронного и нейтронного излучения, а также научных кадров для проведения синхротронных и нейтронных исследований (разработок) в целях получения научных результатов мирового уровня;</w:t>
      </w:r>
    </w:p>
    <w:p>
      <w:pPr>
        <w:pStyle w:val="0"/>
        <w:spacing w:before="200" w:lineRule="auto"/>
        <w:ind w:firstLine="540"/>
        <w:jc w:val="both"/>
      </w:pPr>
      <w:r>
        <w:rPr>
          <w:sz w:val="20"/>
        </w:rPr>
        <w:t xml:space="preserve">привлечение к проведению синхротронных и нейтронных исследований (разработок) представителей международного научного сообщества;</w:t>
      </w:r>
    </w:p>
    <w:p>
      <w:pPr>
        <w:pStyle w:val="0"/>
        <w:spacing w:before="200" w:lineRule="auto"/>
        <w:ind w:firstLine="540"/>
        <w:jc w:val="both"/>
      </w:pPr>
      <w:r>
        <w:rPr>
          <w:sz w:val="20"/>
        </w:rPr>
        <w:t xml:space="preserve">участие образовательных организаций высшего образования, научных организаций и организаций, действующих в реальном секторе экономики, в проведении синхротронных и нейтронных исследований (разработок);</w:t>
      </w:r>
    </w:p>
    <w:p>
      <w:pPr>
        <w:pStyle w:val="0"/>
        <w:spacing w:before="200" w:lineRule="auto"/>
        <w:ind w:firstLine="540"/>
        <w:jc w:val="both"/>
      </w:pPr>
      <w:r>
        <w:rPr>
          <w:sz w:val="20"/>
        </w:rPr>
        <w:t xml:space="preserve">финансирование Программы за счет бюджетных ассигнований федерального бюджета, в том числе предусмотренных на реализацию государственных программ Российской Федерации "</w:t>
      </w:r>
      <w:hyperlink w:history="0" r:id="rId18" w:tooltip="Постановление Правительства РФ от 29.03.2019 N 377 (ред. от 15.05.2025)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Научно-технологическое развитие</w:t>
        </w:r>
      </w:hyperlink>
      <w:r>
        <w:rPr>
          <w:sz w:val="20"/>
        </w:rPr>
        <w:t xml:space="preserve"> Российской Федерации", </w:t>
      </w:r>
      <w:hyperlink w:history="0" r:id="rId19" w:tooltip="Постановление Правительства РФ от 26.12.2017 N 1642 (ред. от 24.07.2025) &quot;Об утверждении государственной программы Российской Федерации &quot;Развитие образования&quot; {КонсультантПлюс}">
        <w:r>
          <w:rPr>
            <w:sz w:val="20"/>
            <w:color w:val="0000ff"/>
          </w:rPr>
          <w:t xml:space="preserve">"Развитие образования"</w:t>
        </w:r>
      </w:hyperlink>
      <w:r>
        <w:rPr>
          <w:sz w:val="20"/>
        </w:rPr>
        <w:t xml:space="preserve">, "</w:t>
      </w:r>
      <w:hyperlink w:history="0" r:id="rId20" w:tooltip="Постановление Правительства РФ от 15.04.2014 N 328 (ред. от 02.08.2025) &quot;Об утверждении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Развитие промышленности</w:t>
        </w:r>
      </w:hyperlink>
      <w:r>
        <w:rPr>
          <w:sz w:val="20"/>
        </w:rPr>
        <w:t xml:space="preserve"> и повышение ее конкурентоспособности", </w:t>
      </w:r>
      <w:hyperlink w:history="0" r:id="rId2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"Развитие здравоохранения"</w:t>
        </w:r>
      </w:hyperlink>
      <w:r>
        <w:rPr>
          <w:sz w:val="20"/>
        </w:rPr>
        <w:t xml:space="preserve">, "Развитие электронной и радиоэлектронной промышленности", а также за счет бюджетных ассигнований бюджетов субъектов Российской Федерации и средств внебюджетных источников;</w:t>
      </w:r>
    </w:p>
    <w:p>
      <w:pPr>
        <w:pStyle w:val="0"/>
        <w:jc w:val="both"/>
      </w:pPr>
      <w:r>
        <w:rPr>
          <w:sz w:val="20"/>
        </w:rPr>
        <w:t xml:space="preserve">(в ред. Указов Президента РФ от 29.08.2022 </w:t>
      </w:r>
      <w:hyperlink w:history="0" r:id="rId22"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N 590</w:t>
        </w:r>
      </w:hyperlink>
      <w:r>
        <w:rPr>
          <w:sz w:val="20"/>
        </w:rPr>
        <w:t xml:space="preserve">, от 22.11.2023 </w:t>
      </w:r>
      <w:hyperlink w:history="0" r:id="rId23"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N 877</w:t>
        </w:r>
      </w:hyperlink>
      <w:r>
        <w:rPr>
          <w:sz w:val="20"/>
        </w:rPr>
        <w:t xml:space="preserve">)</w:t>
      </w:r>
    </w:p>
    <w:p>
      <w:pPr>
        <w:pStyle w:val="0"/>
        <w:spacing w:before="200" w:lineRule="auto"/>
        <w:ind w:firstLine="540"/>
        <w:jc w:val="both"/>
      </w:pPr>
      <w:r>
        <w:rPr>
          <w:sz w:val="20"/>
        </w:rPr>
        <w:t xml:space="preserve">в) начиная с 2021 года представлять Президенту Российской Федерации ежегодно, до 1 мая, доклад о ходе реализации Программы;</w:t>
      </w:r>
    </w:p>
    <w:bookmarkStart w:id="34" w:name="P34"/>
    <w:bookmarkEnd w:id="34"/>
    <w:p>
      <w:pPr>
        <w:pStyle w:val="0"/>
        <w:spacing w:before="200" w:lineRule="auto"/>
        <w:ind w:firstLine="540"/>
        <w:jc w:val="both"/>
      </w:pPr>
      <w:r>
        <w:rPr>
          <w:sz w:val="20"/>
        </w:rPr>
        <w:t xml:space="preserve">г) обеспечить:</w:t>
      </w:r>
    </w:p>
    <w:p>
      <w:pPr>
        <w:pStyle w:val="0"/>
        <w:spacing w:before="200" w:lineRule="auto"/>
        <w:ind w:firstLine="540"/>
        <w:jc w:val="both"/>
      </w:pPr>
      <w:r>
        <w:rPr>
          <w:sz w:val="20"/>
        </w:rPr>
        <w:t xml:space="preserve">ввод в эксплуатацию пяти исследовательских станций Международного центра нейтронных исследований на базе высокопоточного реактора ПИК - до 31 декабря 2020 г.;</w:t>
      </w:r>
    </w:p>
    <w:p>
      <w:pPr>
        <w:pStyle w:val="0"/>
        <w:spacing w:before="200" w:lineRule="auto"/>
        <w:ind w:firstLine="540"/>
        <w:jc w:val="both"/>
      </w:pPr>
      <w:r>
        <w:rPr>
          <w:sz w:val="20"/>
        </w:rPr>
        <w:t xml:space="preserve">создание уникальной научной установки класса "мегасайенс" (о. Русский) - до 31 декабря 2030 г.;</w:t>
      </w:r>
    </w:p>
    <w:p>
      <w:pPr>
        <w:pStyle w:val="0"/>
        <w:jc w:val="both"/>
      </w:pPr>
      <w:r>
        <w:rPr>
          <w:sz w:val="20"/>
        </w:rPr>
        <w:t xml:space="preserve">(в ред. </w:t>
      </w:r>
      <w:hyperlink w:history="0" r:id="rId24"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22.11.2023 N 877)</w:t>
      </w:r>
    </w:p>
    <w:p>
      <w:pPr>
        <w:pStyle w:val="0"/>
        <w:spacing w:before="200" w:lineRule="auto"/>
        <w:ind w:firstLine="540"/>
        <w:jc w:val="both"/>
      </w:pPr>
      <w:r>
        <w:rPr>
          <w:sz w:val="20"/>
        </w:rPr>
        <w:t xml:space="preserve">модернизацию Курчатовского специализированного источника синхротронного излучения "КИСИ-Курчатов" - до 31 декабря 2028 г.;</w:t>
      </w:r>
    </w:p>
    <w:p>
      <w:pPr>
        <w:pStyle w:val="0"/>
        <w:jc w:val="both"/>
      </w:pPr>
      <w:r>
        <w:rPr>
          <w:sz w:val="20"/>
        </w:rPr>
        <w:t xml:space="preserve">(в ред. Указов Президента РФ от 29.08.2022 </w:t>
      </w:r>
      <w:hyperlink w:history="0" r:id="rId25"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N 590</w:t>
        </w:r>
      </w:hyperlink>
      <w:r>
        <w:rPr>
          <w:sz w:val="20"/>
        </w:rPr>
        <w:t xml:space="preserve">, от 28.12.2024 </w:t>
      </w:r>
      <w:hyperlink w:history="0" r:id="rId26" w:tooltip="Указ Президента РФ от 28.12.2024 N 112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1122</w:t>
        </w:r>
      </w:hyperlink>
      <w:r>
        <w:rPr>
          <w:sz w:val="20"/>
        </w:rPr>
        <w:t xml:space="preserve">)</w:t>
      </w:r>
    </w:p>
    <w:p>
      <w:pPr>
        <w:pStyle w:val="0"/>
        <w:spacing w:before="200" w:lineRule="auto"/>
        <w:ind w:firstLine="540"/>
        <w:jc w:val="both"/>
      </w:pPr>
      <w:r>
        <w:rPr>
          <w:sz w:val="20"/>
        </w:rPr>
        <w:t xml:space="preserve">создание источника синхротронного излучения поколения 4+ - до 31 декабря 2025 г.;</w:t>
      </w:r>
    </w:p>
    <w:p>
      <w:pPr>
        <w:pStyle w:val="0"/>
        <w:jc w:val="both"/>
      </w:pPr>
      <w:r>
        <w:rPr>
          <w:sz w:val="20"/>
        </w:rPr>
        <w:t xml:space="preserve">(в ред. Указов Президента РФ от 22.11.2023 </w:t>
      </w:r>
      <w:hyperlink w:history="0" r:id="rId27"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N 877</w:t>
        </w:r>
      </w:hyperlink>
      <w:r>
        <w:rPr>
          <w:sz w:val="20"/>
        </w:rPr>
        <w:t xml:space="preserve">, от 28.12.2024 </w:t>
      </w:r>
      <w:hyperlink w:history="0" r:id="rId28" w:tooltip="Указ Президента РФ от 28.12.2024 N 112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1122</w:t>
        </w:r>
      </w:hyperlink>
      <w:r>
        <w:rPr>
          <w:sz w:val="20"/>
        </w:rPr>
        <w:t xml:space="preserve">)</w:t>
      </w:r>
    </w:p>
    <w:p>
      <w:pPr>
        <w:pStyle w:val="0"/>
        <w:spacing w:before="200" w:lineRule="auto"/>
        <w:ind w:firstLine="540"/>
        <w:jc w:val="both"/>
      </w:pPr>
      <w:r>
        <w:rPr>
          <w:sz w:val="20"/>
        </w:rPr>
        <w:t xml:space="preserve">абзац утратил силу с 22 ноября 2023 года. - </w:t>
      </w:r>
      <w:hyperlink w:history="0" r:id="rId29"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w:t>
        </w:r>
      </w:hyperlink>
      <w:r>
        <w:rPr>
          <w:sz w:val="20"/>
        </w:rPr>
        <w:t xml:space="preserve"> Президента РФ от 22.11.2023 N 877;</w:t>
      </w:r>
    </w:p>
    <w:p>
      <w:pPr>
        <w:pStyle w:val="0"/>
        <w:spacing w:before="200" w:lineRule="auto"/>
        <w:ind w:firstLine="540"/>
        <w:jc w:val="both"/>
      </w:pPr>
      <w:r>
        <w:rPr>
          <w:sz w:val="20"/>
        </w:rPr>
        <w:t xml:space="preserve">ввод в эксплуатацию 20 исследовательских станций Международного центра нейтронных исследований на базе высокопоточного реактора ПИК - до 31 декабря 2026 г.;</w:t>
      </w:r>
    </w:p>
    <w:p>
      <w:pPr>
        <w:pStyle w:val="0"/>
        <w:jc w:val="both"/>
      </w:pPr>
      <w:r>
        <w:rPr>
          <w:sz w:val="20"/>
        </w:rPr>
        <w:t xml:space="preserve">(в ред. </w:t>
      </w:r>
      <w:hyperlink w:history="0" r:id="rId30" w:tooltip="Указ Президента РФ от 28.12.2024 N 112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Указа</w:t>
        </w:r>
      </w:hyperlink>
      <w:r>
        <w:rPr>
          <w:sz w:val="20"/>
        </w:rPr>
        <w:t xml:space="preserve"> Президента РФ от 28.12.2024 N 1122)</w:t>
      </w:r>
    </w:p>
    <w:p>
      <w:pPr>
        <w:pStyle w:val="0"/>
        <w:spacing w:before="200" w:lineRule="auto"/>
        <w:ind w:firstLine="540"/>
        <w:jc w:val="both"/>
      </w:pPr>
      <w:r>
        <w:rPr>
          <w:sz w:val="20"/>
        </w:rPr>
        <w:t xml:space="preserve">д) обеспечить выделение бюджетных ассигнований из федерального бюджета на проектирование, строительство и техническую эксплуатацию (с соблюдением нормативных требований безопасности) объектов, указанных в </w:t>
      </w:r>
      <w:hyperlink w:history="0" w:anchor="P34" w:tooltip="г) обеспечить:">
        <w:r>
          <w:rPr>
            <w:sz w:val="20"/>
            <w:color w:val="0000ff"/>
          </w:rPr>
          <w:t xml:space="preserve">подпункте "г"</w:t>
        </w:r>
      </w:hyperlink>
      <w:r>
        <w:rPr>
          <w:sz w:val="20"/>
        </w:rPr>
        <w:t xml:space="preserve"> настоящего пункта, а также внесение необходимых изменений в федеральную адресную инвестиционную программу, соответствующие государственные программы Российской Федерации и федеральные целевые программы.</w:t>
      </w:r>
    </w:p>
    <w:p>
      <w:pPr>
        <w:pStyle w:val="0"/>
        <w:spacing w:before="200" w:lineRule="auto"/>
        <w:ind w:firstLine="540"/>
        <w:jc w:val="both"/>
      </w:pPr>
      <w:r>
        <w:rPr>
          <w:sz w:val="20"/>
        </w:rPr>
        <w:t xml:space="preserve">1.1. По решению Правительства Российской Федерации Программой может предусматриваться проектирование, строительство и техническая эксплуатация иных, не указанных в </w:t>
      </w:r>
      <w:hyperlink w:history="0" w:anchor="P17" w:tooltip="1. Правительству Российской Федерации:">
        <w:r>
          <w:rPr>
            <w:sz w:val="20"/>
            <w:color w:val="0000ff"/>
          </w:rPr>
          <w:t xml:space="preserve">пункте 1</w:t>
        </w:r>
      </w:hyperlink>
      <w:r>
        <w:rPr>
          <w:sz w:val="20"/>
        </w:rPr>
        <w:t xml:space="preserve"> настоящего Указа уникальных научных установок класса "мегасайенс".</w:t>
      </w:r>
    </w:p>
    <w:p>
      <w:pPr>
        <w:pStyle w:val="0"/>
        <w:jc w:val="both"/>
      </w:pPr>
      <w:r>
        <w:rPr>
          <w:sz w:val="20"/>
        </w:rPr>
        <w:t xml:space="preserve">(п. 1.1 введен </w:t>
      </w:r>
      <w:hyperlink w:history="0" r:id="rId31" w:tooltip="Указ Президента РФ от 02.03.2020 N 16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Указом</w:t>
        </w:r>
      </w:hyperlink>
      <w:r>
        <w:rPr>
          <w:sz w:val="20"/>
        </w:rPr>
        <w:t xml:space="preserve"> Президента РФ от 02.03.2020 N 162)</w:t>
      </w:r>
    </w:p>
    <w:p>
      <w:pPr>
        <w:pStyle w:val="0"/>
        <w:spacing w:before="200" w:lineRule="auto"/>
        <w:ind w:firstLine="540"/>
        <w:jc w:val="both"/>
      </w:pPr>
      <w:r>
        <w:rPr>
          <w:sz w:val="20"/>
        </w:rPr>
        <w:t xml:space="preserve">2. Образовать совет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p>
      <w:pPr>
        <w:pStyle w:val="0"/>
        <w:jc w:val="both"/>
      </w:pPr>
      <w:r>
        <w:rPr>
          <w:sz w:val="20"/>
        </w:rPr>
        <w:t xml:space="preserve">(в ред. </w:t>
      </w:r>
      <w:hyperlink w:history="0" r:id="rId32"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3. Утвердить прилагаемые:</w:t>
      </w:r>
    </w:p>
    <w:p>
      <w:pPr>
        <w:pStyle w:val="0"/>
        <w:spacing w:before="200" w:lineRule="auto"/>
        <w:ind w:firstLine="540"/>
        <w:jc w:val="both"/>
      </w:pPr>
      <w:r>
        <w:rPr>
          <w:sz w:val="20"/>
        </w:rPr>
        <w:t xml:space="preserve">а) </w:t>
      </w:r>
      <w:hyperlink w:history="0" w:anchor="P78" w:tooltip="ПОЛОЖЕНИЕ">
        <w:r>
          <w:rPr>
            <w:sz w:val="20"/>
            <w:color w:val="0000ff"/>
          </w:rPr>
          <w:t xml:space="preserve">Положение</w:t>
        </w:r>
      </w:hyperlink>
      <w:r>
        <w:rPr>
          <w:sz w:val="20"/>
        </w:rPr>
        <w:t xml:space="preserve">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p>
      <w:pPr>
        <w:pStyle w:val="0"/>
        <w:jc w:val="both"/>
      </w:pPr>
      <w:r>
        <w:rPr>
          <w:sz w:val="20"/>
        </w:rPr>
        <w:t xml:space="preserve">(в ред. </w:t>
      </w:r>
      <w:hyperlink w:history="0" r:id="rId33"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б) </w:t>
      </w:r>
      <w:hyperlink w:history="0" w:anchor="P126" w:tooltip="СОСТАВ">
        <w:r>
          <w:rPr>
            <w:sz w:val="20"/>
            <w:color w:val="0000ff"/>
          </w:rPr>
          <w:t xml:space="preserve">состав</w:t>
        </w:r>
      </w:hyperlink>
      <w:r>
        <w:rPr>
          <w:sz w:val="20"/>
        </w:rPr>
        <w:t xml:space="preserve"> совета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p>
      <w:pPr>
        <w:pStyle w:val="0"/>
        <w:jc w:val="both"/>
      </w:pPr>
      <w:r>
        <w:rPr>
          <w:sz w:val="20"/>
        </w:rPr>
        <w:t xml:space="preserve">(в ред. </w:t>
      </w:r>
      <w:hyperlink w:history="0" r:id="rId34"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4. Определить заказчиком - координатором Программы Министерство науки и высшего образования Российской Федерации.</w:t>
      </w:r>
    </w:p>
    <w:p>
      <w:pPr>
        <w:pStyle w:val="0"/>
        <w:spacing w:before="200" w:lineRule="auto"/>
        <w:ind w:firstLine="540"/>
        <w:jc w:val="both"/>
      </w:pPr>
      <w:r>
        <w:rPr>
          <w:sz w:val="20"/>
        </w:rPr>
        <w:t xml:space="preserve">5. Возложить на федеральное государственное бюджетное учреждение "Национальный исследовательский центр "Курчатовский институт" функции головной научной организации Программы, осуществляющей руководство научно-исследовательскими проектами, методическую поддержку разработки и реализации Программы, организующей проведение научно-технической экспертизы проектов, предлагаемых к реализации в рамках Программы, </w:t>
      </w:r>
      <w:hyperlink w:history="0" r:id="rId35" w:tooltip="Приказ Минобрнауки России от 24.11.2020 N 1442 &quot;Об утверждении порядка организации мониторинга выполнения Федеральной научно-технической программы развития синхротронных и нейтронных исследований и исследовательской инфраструктуры на 2019 - 2027 годы&quot; (Зарегистрировано в Минюсте России 24.12.2020 N 61769) {КонсультантПлюс}">
        <w:r>
          <w:rPr>
            <w:sz w:val="20"/>
            <w:color w:val="0000ff"/>
          </w:rPr>
          <w:t xml:space="preserve">мониторинг</w:t>
        </w:r>
      </w:hyperlink>
      <w:r>
        <w:rPr>
          <w:sz w:val="20"/>
        </w:rPr>
        <w:t xml:space="preserve"> результатов реализации Программы и оценку потенциала их коммерциализации, координацию Программы с международными проектами по созданию и эксплуатации уникальных научных установок класса "мегасайенс", а также выполняющей иные функции по решению совета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w:t>
      </w:r>
    </w:p>
    <w:p>
      <w:pPr>
        <w:pStyle w:val="0"/>
        <w:jc w:val="both"/>
      </w:pPr>
      <w:r>
        <w:rPr>
          <w:sz w:val="20"/>
        </w:rPr>
        <w:t xml:space="preserve">(в ред. </w:t>
      </w:r>
      <w:hyperlink w:history="0" r:id="rId36"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6. Правительству Российской Федерации предусматривать при формировании проектов федерального бюджета на очередной финансовый год и на плановый период бюджетные ассигнования на реализацию настоящего Указа.</w:t>
      </w:r>
    </w:p>
    <w:p>
      <w:pPr>
        <w:pStyle w:val="0"/>
        <w:jc w:val="both"/>
      </w:pPr>
      <w:r>
        <w:rPr>
          <w:sz w:val="20"/>
        </w:rPr>
        <w:t xml:space="preserve">(в ред. </w:t>
      </w:r>
      <w:hyperlink w:history="0" r:id="rId37"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7.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2019 года</w:t>
      </w:r>
    </w:p>
    <w:p>
      <w:pPr>
        <w:pStyle w:val="0"/>
        <w:spacing w:before="200" w:lineRule="auto"/>
      </w:pPr>
      <w:r>
        <w:rPr>
          <w:sz w:val="20"/>
        </w:rPr>
        <w:t xml:space="preserve">N 356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25 июля 2019 г. N 356</w:t>
      </w:r>
    </w:p>
    <w:p>
      <w:pPr>
        <w:pStyle w:val="0"/>
        <w:jc w:val="both"/>
      </w:pPr>
      <w:r>
        <w:rPr>
          <w:sz w:val="20"/>
        </w:rPr>
      </w:r>
    </w:p>
    <w:bookmarkStart w:id="78" w:name="P78"/>
    <w:bookmarkEnd w:id="78"/>
    <w:p>
      <w:pPr>
        <w:pStyle w:val="2"/>
        <w:jc w:val="center"/>
      </w:pPr>
      <w:r>
        <w:rPr>
          <w:sz w:val="20"/>
        </w:rPr>
        <w:t xml:space="preserve">ПОЛОЖЕНИЕ</w:t>
      </w:r>
    </w:p>
    <w:p>
      <w:pPr>
        <w:pStyle w:val="2"/>
        <w:jc w:val="center"/>
      </w:pPr>
      <w:r>
        <w:rPr>
          <w:sz w:val="20"/>
        </w:rPr>
        <w:t xml:space="preserve">О СОВЕТЕ ПО РЕАЛИЗАЦИИ ФЕДЕРАЛЬНОЙ НАУЧНО-ТЕХНИЧЕСКОЙ</w:t>
      </w:r>
    </w:p>
    <w:p>
      <w:pPr>
        <w:pStyle w:val="2"/>
        <w:jc w:val="center"/>
      </w:pPr>
      <w:r>
        <w:rPr>
          <w:sz w:val="20"/>
        </w:rPr>
        <w:t xml:space="preserve">ПРОГРАММЫ РАЗВИТИЯ СИНХРОТРОННЫХ И НЕЙТРОННЫХ ИССЛЕДОВАНИЙ</w:t>
      </w:r>
    </w:p>
    <w:p>
      <w:pPr>
        <w:pStyle w:val="2"/>
        <w:jc w:val="center"/>
      </w:pPr>
      <w:r>
        <w:rPr>
          <w:sz w:val="20"/>
        </w:rPr>
        <w:t xml:space="preserve">И ИССЛЕДОВАТЕЛЬСКОЙ ИНФРАСТРУКТУРЫ НА ПЕРИОД ДО 2030 ГОДА</w:t>
      </w:r>
    </w:p>
    <w:p>
      <w:pPr>
        <w:pStyle w:val="2"/>
        <w:jc w:val="center"/>
      </w:pPr>
      <w:r>
        <w:rPr>
          <w:sz w:val="20"/>
        </w:rPr>
        <w:t xml:space="preserve">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18.01.2021 </w:t>
            </w:r>
            <w:hyperlink w:history="0" r:id="rId38" w:tooltip="Указ Президента РФ от 18.01.2021 N 31 &quot;О внесении изменений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этого совета, утвержденные Указом Президента Российской Федерации от 25 июля 2019 г. N 356&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29.08.2022 </w:t>
            </w:r>
            <w:hyperlink w:history="0" r:id="rId39"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N 590</w:t>
              </w:r>
            </w:hyperlink>
            <w:r>
              <w:rPr>
                <w:sz w:val="20"/>
                <w:color w:val="392c69"/>
              </w:rPr>
              <w:t xml:space="preserve">, от 22.11.2023 </w:t>
            </w:r>
            <w:hyperlink w:history="0" r:id="rId40"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N 877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Совет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 (далее - совет) является постоянно действующим коллегиальным органом, обеспечивающим координацию деятельности федеральных органов исполнительной власти и организаций по выполнению мероприятий, предусмотренных Федеральной научно-технической программой развития синхротронных и нейтронных исследований и исследовательской инфраструктуры на период до 2030 года и дальнейшую перспективу (далее - Программа), а также по осуществлению контроля за ходом ее реализации.</w:t>
      </w:r>
    </w:p>
    <w:p>
      <w:pPr>
        <w:pStyle w:val="0"/>
        <w:jc w:val="both"/>
      </w:pPr>
      <w:r>
        <w:rPr>
          <w:sz w:val="20"/>
        </w:rPr>
        <w:t xml:space="preserve">(в ред. </w:t>
      </w:r>
      <w:hyperlink w:history="0" r:id="rId41"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Указа</w:t>
        </w:r>
      </w:hyperlink>
      <w:r>
        <w:rPr>
          <w:sz w:val="20"/>
        </w:rPr>
        <w:t xml:space="preserve"> Президента РФ от 29.08.2022 N 590)</w:t>
      </w:r>
    </w:p>
    <w:p>
      <w:pPr>
        <w:pStyle w:val="0"/>
        <w:spacing w:before="200" w:lineRule="auto"/>
        <w:ind w:firstLine="540"/>
        <w:jc w:val="both"/>
      </w:pPr>
      <w:r>
        <w:rPr>
          <w:sz w:val="20"/>
        </w:rPr>
        <w:t xml:space="preserve">2. Положение о совете и состав совета утверждаются Президентом Российской Федерации.</w:t>
      </w:r>
    </w:p>
    <w:p>
      <w:pPr>
        <w:pStyle w:val="0"/>
        <w:spacing w:before="200" w:lineRule="auto"/>
        <w:ind w:firstLine="540"/>
        <w:jc w:val="both"/>
      </w:pPr>
      <w:r>
        <w:rPr>
          <w:sz w:val="20"/>
        </w:rPr>
        <w:t xml:space="preserve">3. Основными задачами совета являются:</w:t>
      </w:r>
    </w:p>
    <w:p>
      <w:pPr>
        <w:pStyle w:val="0"/>
        <w:spacing w:before="200" w:lineRule="auto"/>
        <w:ind w:firstLine="540"/>
        <w:jc w:val="both"/>
      </w:pPr>
      <w:r>
        <w:rPr>
          <w:sz w:val="20"/>
        </w:rPr>
        <w:t xml:space="preserve">а) подготовка предложений Президенту Российской Федерации и Правительству Российской Федерации по развитию синхротронных и нейтронных исследований (разработок);</w:t>
      </w:r>
    </w:p>
    <w:p>
      <w:pPr>
        <w:pStyle w:val="0"/>
        <w:spacing w:before="200" w:lineRule="auto"/>
        <w:ind w:firstLine="540"/>
        <w:jc w:val="both"/>
      </w:pPr>
      <w:r>
        <w:rPr>
          <w:sz w:val="20"/>
        </w:rPr>
        <w:t xml:space="preserve">б) утверждение характеристик объектов исследовательской инфраструктуры;</w:t>
      </w:r>
    </w:p>
    <w:p>
      <w:pPr>
        <w:pStyle w:val="0"/>
        <w:spacing w:before="200" w:lineRule="auto"/>
        <w:ind w:firstLine="540"/>
        <w:jc w:val="both"/>
      </w:pPr>
      <w:r>
        <w:rPr>
          <w:sz w:val="20"/>
        </w:rPr>
        <w:t xml:space="preserve">в) утверждение ежегодных планов реализации Программы и комплексных планов синхротронных и нейтронных исследований (разработок), определение объемов их финансирования;</w:t>
      </w:r>
    </w:p>
    <w:p>
      <w:pPr>
        <w:pStyle w:val="0"/>
        <w:spacing w:before="200" w:lineRule="auto"/>
        <w:ind w:firstLine="540"/>
        <w:jc w:val="both"/>
      </w:pPr>
      <w:r>
        <w:rPr>
          <w:sz w:val="20"/>
        </w:rPr>
        <w:t xml:space="preserve">г) рассмотрение промежуточных и итоговых отчетов о ходе реализации и достижении целевых показателей Программы, подготовка предложений по ее корректировке;</w:t>
      </w:r>
    </w:p>
    <w:p>
      <w:pPr>
        <w:pStyle w:val="0"/>
        <w:spacing w:before="200" w:lineRule="auto"/>
        <w:ind w:firstLine="540"/>
        <w:jc w:val="both"/>
      </w:pPr>
      <w:r>
        <w:rPr>
          <w:sz w:val="20"/>
        </w:rPr>
        <w:t xml:space="preserve">д) рассмотрение результатов оценки состояния научно-технического обеспечения развития синхротронных и нейтронных исследований (разработок);</w:t>
      </w:r>
    </w:p>
    <w:p>
      <w:pPr>
        <w:pStyle w:val="0"/>
        <w:spacing w:before="200" w:lineRule="auto"/>
        <w:ind w:firstLine="540"/>
        <w:jc w:val="both"/>
      </w:pPr>
      <w:r>
        <w:rPr>
          <w:sz w:val="20"/>
        </w:rPr>
        <w:t xml:space="preserve">е) рассмотрение проекта ежегодного доклада Президенту Российской Федерации о ходе реализации Программы;</w:t>
      </w:r>
    </w:p>
    <w:p>
      <w:pPr>
        <w:pStyle w:val="0"/>
        <w:spacing w:before="200" w:lineRule="auto"/>
        <w:ind w:firstLine="540"/>
        <w:jc w:val="both"/>
      </w:pPr>
      <w:r>
        <w:rPr>
          <w:sz w:val="20"/>
        </w:rPr>
        <w:t xml:space="preserve">ж) рассмотрение по решению Правительства Российской Федерации иных вопросов, связанных с реализацией Программы.</w:t>
      </w:r>
    </w:p>
    <w:p>
      <w:pPr>
        <w:pStyle w:val="0"/>
        <w:spacing w:before="200" w:lineRule="auto"/>
        <w:ind w:firstLine="540"/>
        <w:jc w:val="both"/>
      </w:pPr>
      <w:r>
        <w:rPr>
          <w:sz w:val="20"/>
        </w:rPr>
        <w:t xml:space="preserve">4. Совет для решения возложенных на него задач имеет право:</w:t>
      </w:r>
    </w:p>
    <w:p>
      <w:pPr>
        <w:pStyle w:val="0"/>
        <w:spacing w:before="200" w:lineRule="auto"/>
        <w:ind w:firstLine="540"/>
        <w:jc w:val="both"/>
      </w:pPr>
      <w:r>
        <w:rPr>
          <w:sz w:val="20"/>
        </w:rPr>
        <w:t xml:space="preserve">а) привлекать в установленном порядке представителей органов государственной власти Российской Федерации, научных, образовательных и общественных организаций, предпринимательского сообщества для участия в работе совета;</w:t>
      </w:r>
    </w:p>
    <w:p>
      <w:pPr>
        <w:pStyle w:val="0"/>
        <w:spacing w:before="200" w:lineRule="auto"/>
        <w:ind w:firstLine="540"/>
        <w:jc w:val="both"/>
      </w:pPr>
      <w:r>
        <w:rPr>
          <w:sz w:val="20"/>
        </w:rPr>
        <w:t xml:space="preserve">б) запрашивать и получать в установленном порядке от органов государственной власти Российской Федерации, научных, образовательных и общественных организаций необходимые материалы по вопросам, относящимся к компетенции совета;</w:t>
      </w:r>
    </w:p>
    <w:p>
      <w:pPr>
        <w:pStyle w:val="0"/>
        <w:spacing w:before="200" w:lineRule="auto"/>
        <w:ind w:firstLine="540"/>
        <w:jc w:val="both"/>
      </w:pPr>
      <w:r>
        <w:rPr>
          <w:sz w:val="20"/>
        </w:rPr>
        <w:t xml:space="preserve">в) создавать рабочие группы и экспертные комиссии для подготовки предложений по отдельным вопросам, относящимся к компетенции совета.</w:t>
      </w:r>
    </w:p>
    <w:p>
      <w:pPr>
        <w:pStyle w:val="0"/>
        <w:spacing w:before="200" w:lineRule="auto"/>
        <w:ind w:firstLine="540"/>
        <w:jc w:val="both"/>
      </w:pPr>
      <w:r>
        <w:rPr>
          <w:sz w:val="20"/>
        </w:rPr>
        <w:t xml:space="preserve">4.1. Подготовку и организацию проведения заседаний совета, а также решение текущих вопросов деятельности совета осуществляет секретарь совета.</w:t>
      </w:r>
    </w:p>
    <w:p>
      <w:pPr>
        <w:pStyle w:val="0"/>
        <w:jc w:val="both"/>
      </w:pPr>
      <w:r>
        <w:rPr>
          <w:sz w:val="20"/>
        </w:rPr>
        <w:t xml:space="preserve">(п. 4.1 введен </w:t>
      </w:r>
      <w:hyperlink w:history="0" r:id="rId42" w:tooltip="Указ Президента РФ от 18.01.2021 N 31 &quot;О внесении изменений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этого совета, утвержденные Указом Президента Российской Федерации от 25 июля 2019 г. N 356&quot; {КонсультантПлюс}">
        <w:r>
          <w:rPr>
            <w:sz w:val="20"/>
            <w:color w:val="0000ff"/>
          </w:rPr>
          <w:t xml:space="preserve">Указом</w:t>
        </w:r>
      </w:hyperlink>
      <w:r>
        <w:rPr>
          <w:sz w:val="20"/>
        </w:rPr>
        <w:t xml:space="preserve"> Президента РФ от 18.01.2021 N 31)</w:t>
      </w:r>
    </w:p>
    <w:p>
      <w:pPr>
        <w:pStyle w:val="0"/>
        <w:spacing w:before="200" w:lineRule="auto"/>
        <w:ind w:firstLine="540"/>
        <w:jc w:val="both"/>
      </w:pPr>
      <w:r>
        <w:rPr>
          <w:sz w:val="20"/>
        </w:rPr>
        <w:t xml:space="preserve">5. Заседания совета ведут сопредседатели (сопредседатель) совета.</w:t>
      </w:r>
    </w:p>
    <w:p>
      <w:pPr>
        <w:pStyle w:val="0"/>
        <w:spacing w:before="200" w:lineRule="auto"/>
        <w:ind w:firstLine="540"/>
        <w:jc w:val="both"/>
      </w:pPr>
      <w:r>
        <w:rPr>
          <w:sz w:val="20"/>
        </w:rPr>
        <w:t xml:space="preserve">6. Заседания совета проводятся по мере необходимости, но не реже двух раз в год, в очной форме, заочной форме или в режиме видеоконференции. Могут проводиться выездные заседания совета.</w:t>
      </w:r>
    </w:p>
    <w:p>
      <w:pPr>
        <w:pStyle w:val="0"/>
        <w:jc w:val="both"/>
      </w:pPr>
      <w:r>
        <w:rPr>
          <w:sz w:val="20"/>
        </w:rPr>
        <w:t xml:space="preserve">(в ред. </w:t>
      </w:r>
      <w:hyperlink w:history="0" r:id="rId43"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22.11.2023 N 877)</w:t>
      </w:r>
    </w:p>
    <w:p>
      <w:pPr>
        <w:pStyle w:val="0"/>
        <w:spacing w:before="200" w:lineRule="auto"/>
        <w:ind w:firstLine="540"/>
        <w:jc w:val="both"/>
      </w:pPr>
      <w:r>
        <w:rPr>
          <w:sz w:val="20"/>
        </w:rPr>
        <w:t xml:space="preserve">6(1). Заочное голосование при проведении заседания совета в заочной форме осуществляется путем направления членам совета бюллетеней. При заполнении бюллетеня член совета должен однозначно выразить свое мнение по поставленному вопросу, а при необходимости дополнительно изложить в письменной форме особое мнение по данному вопросу. Подписанные членом совета бюллетень и особое мнение (при наличии) направляются в совет на бумажном носителе и (или) в виде электронных образов этих документов в установленный сопредседателями (сопредседателем) совета срок.</w:t>
      </w:r>
    </w:p>
    <w:p>
      <w:pPr>
        <w:pStyle w:val="0"/>
        <w:jc w:val="both"/>
      </w:pPr>
      <w:r>
        <w:rPr>
          <w:sz w:val="20"/>
        </w:rPr>
        <w:t xml:space="preserve">(п. 6(1) введен </w:t>
      </w:r>
      <w:hyperlink w:history="0" r:id="rId44"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Указом</w:t>
        </w:r>
      </w:hyperlink>
      <w:r>
        <w:rPr>
          <w:sz w:val="20"/>
        </w:rPr>
        <w:t xml:space="preserve"> Президента РФ от 22.11.2023 N 877)</w:t>
      </w:r>
    </w:p>
    <w:p>
      <w:pPr>
        <w:pStyle w:val="0"/>
        <w:spacing w:before="200" w:lineRule="auto"/>
        <w:ind w:firstLine="540"/>
        <w:jc w:val="both"/>
      </w:pPr>
      <w:r>
        <w:rPr>
          <w:sz w:val="20"/>
        </w:rPr>
        <w:t xml:space="preserve">7. Заседания совета считаются правомочными, если в них приняли участие не менее половины членов совета.</w:t>
      </w:r>
    </w:p>
    <w:p>
      <w:pPr>
        <w:pStyle w:val="0"/>
        <w:jc w:val="both"/>
      </w:pPr>
      <w:r>
        <w:rPr>
          <w:sz w:val="20"/>
        </w:rPr>
        <w:t xml:space="preserve">(п. 7 в ред. </w:t>
      </w:r>
      <w:hyperlink w:history="0" r:id="rId45"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22.11.2023 N 877)</w:t>
      </w:r>
    </w:p>
    <w:p>
      <w:pPr>
        <w:pStyle w:val="0"/>
        <w:spacing w:before="200" w:lineRule="auto"/>
        <w:ind w:firstLine="540"/>
        <w:jc w:val="both"/>
      </w:pPr>
      <w:r>
        <w:rPr>
          <w:sz w:val="20"/>
        </w:rPr>
        <w:t xml:space="preserve">8. Решения совета принимаются на основе консенсуса. При невозможности достижения консенсуса решения совета принимаются большинством голосов членов совета, принявших участие в заседании совета.</w:t>
      </w:r>
    </w:p>
    <w:p>
      <w:pPr>
        <w:pStyle w:val="0"/>
        <w:jc w:val="both"/>
      </w:pPr>
      <w:r>
        <w:rPr>
          <w:sz w:val="20"/>
        </w:rPr>
        <w:t xml:space="preserve">(п. 8 в ред. </w:t>
      </w:r>
      <w:hyperlink w:history="0" r:id="rId46" w:tooltip="Указ Президента РФ от 22.11.2023 N 877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Положение, утвержденное этим Указом&quot; {КонсультантПлюс}">
        <w:r>
          <w:rPr>
            <w:sz w:val="20"/>
            <w:color w:val="0000ff"/>
          </w:rPr>
          <w:t xml:space="preserve">Указа</w:t>
        </w:r>
      </w:hyperlink>
      <w:r>
        <w:rPr>
          <w:sz w:val="20"/>
        </w:rPr>
        <w:t xml:space="preserve"> Президента РФ от 22.11.2023 N 877)</w:t>
      </w:r>
    </w:p>
    <w:p>
      <w:pPr>
        <w:pStyle w:val="0"/>
        <w:spacing w:before="200" w:lineRule="auto"/>
        <w:ind w:firstLine="540"/>
        <w:jc w:val="both"/>
      </w:pPr>
      <w:r>
        <w:rPr>
          <w:sz w:val="20"/>
        </w:rPr>
        <w:t xml:space="preserve">9. Решения совета оформляются протоколами. Протоколы заседаний совета подписываются сопредседателями (сопредседателем) совета.</w:t>
      </w:r>
    </w:p>
    <w:p>
      <w:pPr>
        <w:pStyle w:val="0"/>
        <w:spacing w:before="200" w:lineRule="auto"/>
        <w:ind w:firstLine="540"/>
        <w:jc w:val="both"/>
      </w:pPr>
      <w:r>
        <w:rPr>
          <w:sz w:val="20"/>
        </w:rPr>
        <w:t xml:space="preserve">10. Члены совета осуществляют свою деятельность на безвозмездной основе.</w:t>
      </w:r>
    </w:p>
    <w:p>
      <w:pPr>
        <w:pStyle w:val="0"/>
        <w:spacing w:before="200" w:lineRule="auto"/>
        <w:ind w:firstLine="540"/>
        <w:jc w:val="both"/>
      </w:pPr>
      <w:r>
        <w:rPr>
          <w:sz w:val="20"/>
        </w:rPr>
        <w:t xml:space="preserve">11. Организационно-техническое и информационное обеспечение деятельности совета осуществляет Аппарат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25 июля 2019 г. N 356</w:t>
      </w:r>
    </w:p>
    <w:p>
      <w:pPr>
        <w:pStyle w:val="0"/>
        <w:jc w:val="both"/>
      </w:pPr>
      <w:r>
        <w:rPr>
          <w:sz w:val="20"/>
        </w:rPr>
      </w:r>
    </w:p>
    <w:bookmarkStart w:id="126" w:name="P126"/>
    <w:bookmarkEnd w:id="126"/>
    <w:p>
      <w:pPr>
        <w:pStyle w:val="2"/>
        <w:jc w:val="center"/>
      </w:pPr>
      <w:r>
        <w:rPr>
          <w:sz w:val="20"/>
        </w:rPr>
        <w:t xml:space="preserve">СОСТАВ</w:t>
      </w:r>
    </w:p>
    <w:p>
      <w:pPr>
        <w:pStyle w:val="2"/>
        <w:jc w:val="center"/>
      </w:pPr>
      <w:r>
        <w:rPr>
          <w:sz w:val="20"/>
        </w:rPr>
        <w:t xml:space="preserve">СОВЕТА ПО РЕАЛИЗАЦИИ ФЕДЕРАЛЬНОЙ НАУЧНО-ТЕХНИЧЕСКОЙ</w:t>
      </w:r>
    </w:p>
    <w:p>
      <w:pPr>
        <w:pStyle w:val="2"/>
        <w:jc w:val="center"/>
      </w:pPr>
      <w:r>
        <w:rPr>
          <w:sz w:val="20"/>
        </w:rPr>
        <w:t xml:space="preserve">ПРОГРАММЫ РАЗВИТИЯ СИНХРОТРОННЫХ И НЕЙТРОННЫХ ИССЛЕДОВАНИЙ</w:t>
      </w:r>
    </w:p>
    <w:p>
      <w:pPr>
        <w:pStyle w:val="2"/>
        <w:jc w:val="center"/>
      </w:pPr>
      <w:r>
        <w:rPr>
          <w:sz w:val="20"/>
        </w:rPr>
        <w:t xml:space="preserve">И ИССЛЕДОВАТЕЛЬСКОЙ ИНФРАСТРУКТУРЫ НА ПЕРИОД ДО 2030 ГОДА</w:t>
      </w:r>
    </w:p>
    <w:p>
      <w:pPr>
        <w:pStyle w:val="2"/>
        <w:jc w:val="center"/>
      </w:pPr>
      <w:r>
        <w:rPr>
          <w:sz w:val="20"/>
        </w:rPr>
        <w:t xml:space="preserve">И ДАЛЬНЕЙШУЮ ПЕРСПЕКТИВУ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02.03.2020 </w:t>
            </w:r>
            <w:hyperlink w:history="0" r:id="rId47" w:tooltip="Указ Президента РФ от 02.03.2020 N 16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162</w:t>
              </w:r>
            </w:hyperlink>
            <w:r>
              <w:rPr>
                <w:sz w:val="20"/>
                <w:color w:val="392c69"/>
              </w:rPr>
              <w:t xml:space="preserve">,</w:t>
            </w:r>
          </w:p>
          <w:p>
            <w:pPr>
              <w:pStyle w:val="0"/>
              <w:jc w:val="center"/>
            </w:pPr>
            <w:r>
              <w:rPr>
                <w:sz w:val="20"/>
                <w:color w:val="392c69"/>
              </w:rPr>
              <w:t xml:space="preserve">от 18.01.2021 </w:t>
            </w:r>
            <w:hyperlink w:history="0" r:id="rId48" w:tooltip="Указ Президента РФ от 18.01.2021 N 31 &quot;О внесении изменений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этого совета, утвержденные Указом Президента Российской Федерации от 25 июля 2019 г. N 356&quot; {КонсультантПлюс}">
              <w:r>
                <w:rPr>
                  <w:sz w:val="20"/>
                  <w:color w:val="0000ff"/>
                </w:rPr>
                <w:t xml:space="preserve">N 31</w:t>
              </w:r>
            </w:hyperlink>
            <w:r>
              <w:rPr>
                <w:sz w:val="20"/>
                <w:color w:val="392c69"/>
              </w:rPr>
              <w:t xml:space="preserve">, от 29.08.2022 </w:t>
            </w:r>
            <w:hyperlink w:history="0" r:id="rId49" w:tooltip="Указ Президента РФ от 29.08.2022 N 590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в Положение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 и в состав совета, утвержденные этим Указом&quot; {КонсультантПлюс}">
              <w:r>
                <w:rPr>
                  <w:sz w:val="20"/>
                  <w:color w:val="0000ff"/>
                </w:rPr>
                <w:t xml:space="preserve">N 590</w:t>
              </w:r>
            </w:hyperlink>
            <w:r>
              <w:rPr>
                <w:sz w:val="20"/>
                <w:color w:val="392c69"/>
              </w:rPr>
              <w:t xml:space="preserve">, от 29.12.2022 </w:t>
            </w:r>
            <w:hyperlink w:history="0" r:id="rId50" w:tooltip="Указ Президента РФ от 29.12.2022 N 975 &quot;О внесении изменений в некоторые акты Президента Российской Федерации&quot; {КонсультантПлюс}">
              <w:r>
                <w:rPr>
                  <w:sz w:val="20"/>
                  <w:color w:val="0000ff"/>
                </w:rPr>
                <w:t xml:space="preserve">N 975</w:t>
              </w:r>
            </w:hyperlink>
            <w:r>
              <w:rPr>
                <w:sz w:val="20"/>
                <w:color w:val="392c69"/>
              </w:rPr>
              <w:t xml:space="preserve">,</w:t>
            </w:r>
          </w:p>
          <w:p>
            <w:pPr>
              <w:pStyle w:val="0"/>
              <w:jc w:val="center"/>
            </w:pPr>
            <w:r>
              <w:rPr>
                <w:sz w:val="20"/>
                <w:color w:val="392c69"/>
              </w:rPr>
              <w:t xml:space="preserve">от 20.07.2023 </w:t>
            </w:r>
            <w:hyperlink w:history="0" r:id="rId51" w:tooltip="Указ Президента РФ от 20.07.2023 N 542 &quot;О внесении изменений в некоторые акты Президента Российской Федерации&quot; {КонсультантПлюс}">
              <w:r>
                <w:rPr>
                  <w:sz w:val="20"/>
                  <w:color w:val="0000ff"/>
                </w:rPr>
                <w:t xml:space="preserve">N 542</w:t>
              </w:r>
            </w:hyperlink>
            <w:r>
              <w:rPr>
                <w:sz w:val="20"/>
                <w:color w:val="392c69"/>
              </w:rPr>
              <w:t xml:space="preserve">, от 28.12.2024 </w:t>
            </w:r>
            <w:hyperlink w:history="0" r:id="rId52" w:tooltip="Указ Президента РФ от 28.12.2024 N 1122 &quot;О внесении изменений в Указ Президента Российской Федерации от 25 июля 2019 г. N 356 &quot;О мерах по развитию синхротронных и нейтронных исследований и исследовательской инфраструктуры в Российской Федерации&quot; и в состав совета, утвержденный этим Указом&quot; {КонсультантПлюс}">
              <w:r>
                <w:rPr>
                  <w:sz w:val="20"/>
                  <w:color w:val="0000ff"/>
                </w:rPr>
                <w:t xml:space="preserve">N 1122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984"/>
        <w:gridCol w:w="397"/>
        <w:gridCol w:w="6690"/>
      </w:tblGrid>
      <w:tr>
        <w:tc>
          <w:tcPr>
            <w:tcW w:w="1984" w:type="dxa"/>
            <w:tcBorders>
              <w:top w:val="nil"/>
              <w:left w:val="nil"/>
              <w:bottom w:val="nil"/>
              <w:right w:val="nil"/>
            </w:tcBorders>
          </w:tcPr>
          <w:p>
            <w:pPr>
              <w:pStyle w:val="0"/>
            </w:pPr>
            <w:r>
              <w:rPr>
                <w:sz w:val="20"/>
              </w:rPr>
              <w:t xml:space="preserve">Чернышенко Д.Н.</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Заместитель Председателя Правительства Российской Федерации (сопредседатель совета)</w:t>
            </w:r>
          </w:p>
        </w:tc>
      </w:tr>
      <w:tr>
        <w:tc>
          <w:tcPr>
            <w:tcW w:w="1984" w:type="dxa"/>
            <w:tcBorders>
              <w:top w:val="nil"/>
              <w:left w:val="nil"/>
              <w:bottom w:val="nil"/>
              <w:right w:val="nil"/>
            </w:tcBorders>
          </w:tcPr>
          <w:p>
            <w:pPr>
              <w:pStyle w:val="0"/>
            </w:pPr>
            <w:r>
              <w:rPr>
                <w:sz w:val="20"/>
              </w:rPr>
              <w:t xml:space="preserve">Фурсенко А.А.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помощник Президента Российской Федерации (сопредседатель совета)</w:t>
            </w:r>
          </w:p>
        </w:tc>
      </w:tr>
      <w:tr>
        <w:tc>
          <w:tcPr>
            <w:tcW w:w="1984" w:type="dxa"/>
            <w:tcBorders>
              <w:top w:val="nil"/>
              <w:left w:val="nil"/>
              <w:bottom w:val="nil"/>
              <w:right w:val="nil"/>
            </w:tcBorders>
          </w:tcPr>
          <w:p>
            <w:pPr>
              <w:pStyle w:val="0"/>
            </w:pPr>
            <w:r>
              <w:rPr>
                <w:sz w:val="20"/>
              </w:rPr>
              <w:t xml:space="preserve">Семин А.А.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заместитель директора Департамента просвещения, высшего образования и науки Аппарата Правительства Российской Федерации (секретарь совета)</w:t>
            </w:r>
          </w:p>
        </w:tc>
      </w:tr>
      <w:tr>
        <w:tc>
          <w:tcPr>
            <w:tcW w:w="1984" w:type="dxa"/>
            <w:tcBorders>
              <w:top w:val="nil"/>
              <w:left w:val="nil"/>
              <w:bottom w:val="nil"/>
              <w:right w:val="nil"/>
            </w:tcBorders>
          </w:tcPr>
          <w:p>
            <w:pPr>
              <w:pStyle w:val="0"/>
            </w:pPr>
            <w:r>
              <w:rPr>
                <w:sz w:val="20"/>
              </w:rPr>
              <w:t xml:space="preserve">Беспалов В.А.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генеральный директор Российского научного фонда</w:t>
            </w:r>
          </w:p>
        </w:tc>
      </w:tr>
      <w:tr>
        <w:tc>
          <w:tcPr>
            <w:tcW w:w="1984" w:type="dxa"/>
            <w:tcBorders>
              <w:top w:val="nil"/>
              <w:left w:val="nil"/>
              <w:bottom w:val="nil"/>
              <w:right w:val="nil"/>
            </w:tcBorders>
          </w:tcPr>
          <w:p>
            <w:pPr>
              <w:pStyle w:val="0"/>
            </w:pPr>
            <w:r>
              <w:rPr>
                <w:sz w:val="20"/>
              </w:rPr>
              <w:t xml:space="preserve">Благов А.Е.</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вице-президент федерального государственного бюджетного учреждения "Национальный исследовательский центр "Курчатовский институт" (по согласованию)</w:t>
            </w:r>
          </w:p>
        </w:tc>
      </w:tr>
      <w:tr>
        <w:tc>
          <w:tcPr>
            <w:tcW w:w="1984" w:type="dxa"/>
            <w:tcBorders>
              <w:top w:val="nil"/>
              <w:left w:val="nil"/>
              <w:bottom w:val="nil"/>
              <w:right w:val="nil"/>
            </w:tcBorders>
          </w:tcPr>
          <w:p>
            <w:pPr>
              <w:pStyle w:val="0"/>
            </w:pPr>
            <w:r>
              <w:rPr>
                <w:sz w:val="20"/>
              </w:rPr>
              <w:t xml:space="preserve">Бухтияров В.И.</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директор федерального государственного бюджетного учреждения науки "Федеральный исследовательский центр "Институт катализа им. Г.К. Борескова Сибирского отделения Российской академии наук"</w:t>
            </w:r>
          </w:p>
        </w:tc>
      </w:tr>
      <w:tr>
        <w:tc>
          <w:tcPr>
            <w:tcW w:w="1984" w:type="dxa"/>
            <w:tcBorders>
              <w:top w:val="nil"/>
              <w:left w:val="nil"/>
              <w:bottom w:val="nil"/>
              <w:right w:val="nil"/>
            </w:tcBorders>
          </w:tcPr>
          <w:p>
            <w:pPr>
              <w:pStyle w:val="0"/>
            </w:pPr>
            <w:r>
              <w:rPr>
                <w:sz w:val="20"/>
              </w:rPr>
              <w:t xml:space="preserve">Дьякова Ю.А.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первый заместитель директора по науке федерального государственного бюджетного учреждения "Национальный исследовательский центр "Курчатовский институт" (по согласованию)</w:t>
            </w:r>
          </w:p>
        </w:tc>
      </w:tr>
      <w:tr>
        <w:tc>
          <w:tcPr>
            <w:tcW w:w="1984" w:type="dxa"/>
            <w:tcBorders>
              <w:top w:val="nil"/>
              <w:left w:val="nil"/>
              <w:bottom w:val="nil"/>
              <w:right w:val="nil"/>
            </w:tcBorders>
          </w:tcPr>
          <w:p>
            <w:pPr>
              <w:pStyle w:val="0"/>
            </w:pPr>
            <w:r>
              <w:rPr>
                <w:sz w:val="20"/>
              </w:rPr>
              <w:t xml:space="preserve">Кадочников П.А.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заместитель Министра финансов Российской Федерации</w:t>
            </w:r>
          </w:p>
        </w:tc>
      </w:tr>
      <w:tr>
        <w:tc>
          <w:tcPr>
            <w:tcW w:w="1984" w:type="dxa"/>
            <w:tcBorders>
              <w:top w:val="nil"/>
              <w:left w:val="nil"/>
              <w:bottom w:val="nil"/>
              <w:right w:val="nil"/>
            </w:tcBorders>
          </w:tcPr>
          <w:p>
            <w:pPr>
              <w:pStyle w:val="0"/>
            </w:pPr>
            <w:r>
              <w:rPr>
                <w:sz w:val="20"/>
              </w:rPr>
              <w:t xml:space="preserve">Ковальчук М.В.</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президент федерального государственного бюджетного учреждения "Национальный исследовательский центр "Курчатовский институт"</w:t>
            </w:r>
          </w:p>
        </w:tc>
      </w:tr>
      <w:tr>
        <w:tc>
          <w:tcPr>
            <w:tcW w:w="1984" w:type="dxa"/>
            <w:tcBorders>
              <w:top w:val="nil"/>
              <w:left w:val="nil"/>
              <w:bottom w:val="nil"/>
              <w:right w:val="nil"/>
            </w:tcBorders>
          </w:tcPr>
          <w:p>
            <w:pPr>
              <w:pStyle w:val="0"/>
            </w:pPr>
            <w:r>
              <w:rPr>
                <w:sz w:val="20"/>
              </w:rPr>
              <w:t xml:space="preserve">Коробец Б.Н.</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ректор федерального государственного автономного образовательного учреждения высшего образования "Дальневосточный федеральный университет"</w:t>
            </w:r>
          </w:p>
        </w:tc>
      </w:tr>
      <w:tr>
        <w:tc>
          <w:tcPr>
            <w:tcW w:w="1984" w:type="dxa"/>
            <w:tcBorders>
              <w:top w:val="nil"/>
              <w:left w:val="nil"/>
              <w:bottom w:val="nil"/>
              <w:right w:val="nil"/>
            </w:tcBorders>
          </w:tcPr>
          <w:p>
            <w:pPr>
              <w:pStyle w:val="0"/>
            </w:pPr>
            <w:r>
              <w:rPr>
                <w:sz w:val="20"/>
              </w:rPr>
              <w:t xml:space="preserve">Кравчук Л.В.</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главный научный сотрудник федерального государственного бюджетного учреждения науки Институт ядерных исследований Российской академии наук (по согласованию)</w:t>
            </w:r>
          </w:p>
        </w:tc>
      </w:tr>
      <w:tr>
        <w:tc>
          <w:tcPr>
            <w:tcW w:w="1984" w:type="dxa"/>
            <w:tcBorders>
              <w:top w:val="nil"/>
              <w:left w:val="nil"/>
              <w:bottom w:val="nil"/>
              <w:right w:val="nil"/>
            </w:tcBorders>
          </w:tcPr>
          <w:p>
            <w:pPr>
              <w:pStyle w:val="0"/>
            </w:pPr>
            <w:r>
              <w:rPr>
                <w:sz w:val="20"/>
              </w:rPr>
              <w:t xml:space="preserve">Лихачев А.Е.</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генеральный директор Госкорпорации "Росатом"</w:t>
            </w:r>
          </w:p>
        </w:tc>
      </w:tr>
      <w:tr>
        <w:tc>
          <w:tcPr>
            <w:tcW w:w="1984" w:type="dxa"/>
            <w:tcBorders>
              <w:top w:val="nil"/>
              <w:left w:val="nil"/>
              <w:bottom w:val="nil"/>
              <w:right w:val="nil"/>
            </w:tcBorders>
          </w:tcPr>
          <w:p>
            <w:pPr>
              <w:pStyle w:val="0"/>
            </w:pPr>
            <w:r>
              <w:rPr>
                <w:sz w:val="20"/>
              </w:rPr>
              <w:t xml:space="preserve">Логачев П.В.</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директор федерального государственного бюджетного учреждения науки Институт ядерной физики им. Г.И. Будкера Сибирского отделения Российской академии наук</w:t>
            </w:r>
          </w:p>
        </w:tc>
      </w:tr>
      <w:tr>
        <w:tc>
          <w:tcPr>
            <w:tcW w:w="1984" w:type="dxa"/>
            <w:tcBorders>
              <w:top w:val="nil"/>
              <w:left w:val="nil"/>
              <w:bottom w:val="nil"/>
              <w:right w:val="nil"/>
            </w:tcBorders>
          </w:tcPr>
          <w:p>
            <w:pPr>
              <w:pStyle w:val="0"/>
            </w:pPr>
            <w:r>
              <w:rPr>
                <w:sz w:val="20"/>
              </w:rPr>
              <w:t xml:space="preserve">Мазуренко С.Н.</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председатель совета директоров акционерного общества "Новая медицинская компания" (по согласованию)</w:t>
            </w:r>
          </w:p>
        </w:tc>
      </w:tr>
      <w:tr>
        <w:tc>
          <w:tcPr>
            <w:tcW w:w="1984" w:type="dxa"/>
            <w:tcBorders>
              <w:top w:val="nil"/>
              <w:left w:val="nil"/>
              <w:bottom w:val="nil"/>
              <w:right w:val="nil"/>
            </w:tcBorders>
          </w:tcPr>
          <w:p>
            <w:pPr>
              <w:pStyle w:val="0"/>
            </w:pPr>
            <w:r>
              <w:rPr>
                <w:sz w:val="20"/>
              </w:rPr>
              <w:t xml:space="preserve">Мурашко М.А.</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Министр здравоохранения Российской Федерации</w:t>
            </w:r>
          </w:p>
        </w:tc>
      </w:tr>
      <w:tr>
        <w:tc>
          <w:tcPr>
            <w:tcW w:w="1984" w:type="dxa"/>
            <w:tcBorders>
              <w:top w:val="nil"/>
              <w:left w:val="nil"/>
              <w:bottom w:val="nil"/>
              <w:right w:val="nil"/>
            </w:tcBorders>
          </w:tcPr>
          <w:p>
            <w:pPr>
              <w:pStyle w:val="0"/>
            </w:pPr>
            <w:r>
              <w:rPr>
                <w:sz w:val="20"/>
              </w:rPr>
              <w:t xml:space="preserve">Никипелова Н.В.</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президент акционерного общества "ТВЭЛ" (по согласованию)</w:t>
            </w:r>
          </w:p>
        </w:tc>
      </w:tr>
      <w:tr>
        <w:tc>
          <w:tcPr>
            <w:tcW w:w="1984" w:type="dxa"/>
            <w:tcBorders>
              <w:top w:val="nil"/>
              <w:left w:val="nil"/>
              <w:bottom w:val="nil"/>
              <w:right w:val="nil"/>
            </w:tcBorders>
          </w:tcPr>
          <w:p>
            <w:pPr>
              <w:pStyle w:val="0"/>
            </w:pPr>
            <w:r>
              <w:rPr>
                <w:sz w:val="20"/>
              </w:rPr>
              <w:t xml:space="preserve">Панченко В.Я.</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вице-президент Российской академии наук</w:t>
            </w:r>
          </w:p>
        </w:tc>
      </w:tr>
      <w:tr>
        <w:tc>
          <w:tcPr>
            <w:tcW w:w="1984" w:type="dxa"/>
            <w:tcBorders>
              <w:top w:val="nil"/>
              <w:left w:val="nil"/>
              <w:bottom w:val="nil"/>
              <w:right w:val="nil"/>
            </w:tcBorders>
          </w:tcPr>
          <w:p>
            <w:pPr>
              <w:pStyle w:val="0"/>
            </w:pPr>
            <w:r>
              <w:rPr>
                <w:sz w:val="20"/>
              </w:rPr>
              <w:t xml:space="preserve">Фальков В.Н.</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Министр науки и высшего образования Российской Федерации</w:t>
            </w:r>
          </w:p>
        </w:tc>
      </w:tr>
      <w:tr>
        <w:tc>
          <w:tcPr>
            <w:tcW w:w="1984" w:type="dxa"/>
            <w:tcBorders>
              <w:top w:val="nil"/>
              <w:left w:val="nil"/>
              <w:bottom w:val="nil"/>
              <w:right w:val="nil"/>
            </w:tcBorders>
          </w:tcPr>
          <w:p>
            <w:pPr>
              <w:pStyle w:val="0"/>
            </w:pPr>
            <w:r>
              <w:rPr>
                <w:sz w:val="20"/>
              </w:rPr>
              <w:t xml:space="preserve">Чепурина О.Н.</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заместитель Руководителя Аппарата Правительства Российской Федерации</w:t>
            </w:r>
          </w:p>
        </w:tc>
      </w:tr>
      <w:tr>
        <w:tc>
          <w:tcPr>
            <w:tcW w:w="1984" w:type="dxa"/>
            <w:tcBorders>
              <w:top w:val="nil"/>
              <w:left w:val="nil"/>
              <w:bottom w:val="nil"/>
              <w:right w:val="nil"/>
            </w:tcBorders>
          </w:tcPr>
          <w:p>
            <w:pPr>
              <w:pStyle w:val="0"/>
            </w:pPr>
            <w:r>
              <w:rPr>
                <w:sz w:val="20"/>
              </w:rPr>
              <w:t xml:space="preserve">Шевченко В.И.</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ректор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tc>
          <w:tcPr>
            <w:tcW w:w="1984" w:type="dxa"/>
            <w:tcBorders>
              <w:top w:val="nil"/>
              <w:left w:val="nil"/>
              <w:bottom w:val="nil"/>
              <w:right w:val="nil"/>
            </w:tcBorders>
          </w:tcPr>
          <w:p>
            <w:pPr>
              <w:pStyle w:val="0"/>
            </w:pPr>
            <w:r>
              <w:rPr>
                <w:sz w:val="20"/>
              </w:rPr>
              <w:t xml:space="preserve">Шпак В.В.</w:t>
            </w:r>
          </w:p>
        </w:tc>
        <w:tc>
          <w:tcPr>
            <w:tcW w:w="397" w:type="dxa"/>
            <w:tcBorders>
              <w:top w:val="nil"/>
              <w:left w:val="nil"/>
              <w:bottom w:val="nil"/>
              <w:right w:val="nil"/>
            </w:tcBorders>
          </w:tcPr>
          <w:p>
            <w:pPr>
              <w:pStyle w:val="0"/>
              <w:jc w:val="center"/>
            </w:pPr>
            <w:r>
              <w:rPr>
                <w:sz w:val="20"/>
              </w:rPr>
              <w:t xml:space="preserve">-</w:t>
            </w:r>
          </w:p>
        </w:tc>
        <w:tc>
          <w:tcPr>
            <w:tcW w:w="6690" w:type="dxa"/>
            <w:tcBorders>
              <w:top w:val="nil"/>
              <w:left w:val="nil"/>
              <w:bottom w:val="nil"/>
              <w:right w:val="nil"/>
            </w:tcBorders>
          </w:tcPr>
          <w:p>
            <w:pPr>
              <w:pStyle w:val="0"/>
              <w:jc w:val="both"/>
            </w:pPr>
            <w:r>
              <w:rPr>
                <w:sz w:val="20"/>
              </w:rPr>
              <w:t xml:space="preserve">заместитель Министра промышленности и торговли Российской Федерации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25.07.2019 N 356</w:t>
            <w:br/>
            <w:t>(ред. от 28.12.2024)</w:t>
            <w:br/>
            <w:t>"О мерах по развитию синхротронных и нейтронных исследований...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46803&amp;dst=100006" TargetMode = "External"/><Relationship Id="rId9" Type="http://schemas.openxmlformats.org/officeDocument/2006/relationships/hyperlink" Target="https://login.consultant.ru/link/?req=doc&amp;base=LAW&amp;n=374255&amp;dst=100006" TargetMode = "External"/><Relationship Id="rId10" Type="http://schemas.openxmlformats.org/officeDocument/2006/relationships/hyperlink" Target="https://login.consultant.ru/link/?req=doc&amp;base=LAW&amp;n=425304&amp;dst=100006" TargetMode = "External"/><Relationship Id="rId11" Type="http://schemas.openxmlformats.org/officeDocument/2006/relationships/hyperlink" Target="https://login.consultant.ru/link/?req=doc&amp;base=LAW&amp;n=436147&amp;dst=100012" TargetMode = "External"/><Relationship Id="rId12" Type="http://schemas.openxmlformats.org/officeDocument/2006/relationships/hyperlink" Target="https://login.consultant.ru/link/?req=doc&amp;base=LAW&amp;n=452497&amp;dst=100006" TargetMode = "External"/><Relationship Id="rId13" Type="http://schemas.openxmlformats.org/officeDocument/2006/relationships/hyperlink" Target="https://login.consultant.ru/link/?req=doc&amp;base=LAW&amp;n=462517&amp;dst=100006" TargetMode = "External"/><Relationship Id="rId14" Type="http://schemas.openxmlformats.org/officeDocument/2006/relationships/hyperlink" Target="https://login.consultant.ru/link/?req=doc&amp;base=LAW&amp;n=494978&amp;dst=100006" TargetMode = "External"/><Relationship Id="rId15" Type="http://schemas.openxmlformats.org/officeDocument/2006/relationships/hyperlink" Target="https://login.consultant.ru/link/?req=doc&amp;base=LAW&amp;n=425304&amp;dst=100009" TargetMode = "External"/><Relationship Id="rId16" Type="http://schemas.openxmlformats.org/officeDocument/2006/relationships/hyperlink" Target="https://login.consultant.ru/link/?req=doc&amp;base=LAW&amp;n=462517&amp;dst=100009" TargetMode = "External"/><Relationship Id="rId17" Type="http://schemas.openxmlformats.org/officeDocument/2006/relationships/hyperlink" Target="https://login.consultant.ru/link/?req=doc&amp;base=LAW&amp;n=425304&amp;dst=100012" TargetMode = "External"/><Relationship Id="rId18" Type="http://schemas.openxmlformats.org/officeDocument/2006/relationships/hyperlink" Target="https://login.consultant.ru/link/?req=doc&amp;base=LAW&amp;n=505483&amp;dst=100015" TargetMode = "External"/><Relationship Id="rId19" Type="http://schemas.openxmlformats.org/officeDocument/2006/relationships/hyperlink" Target="https://login.consultant.ru/link/?req=doc&amp;base=LAW&amp;n=510735&amp;dst=100019" TargetMode = "External"/><Relationship Id="rId20" Type="http://schemas.openxmlformats.org/officeDocument/2006/relationships/hyperlink" Target="https://login.consultant.ru/link/?req=doc&amp;base=LAW&amp;n=511491&amp;dst=109549" TargetMode = "External"/><Relationship Id="rId21" Type="http://schemas.openxmlformats.org/officeDocument/2006/relationships/hyperlink" Target="https://login.consultant.ru/link/?req=doc&amp;base=LAW&amp;n=493417&amp;dst=131745" TargetMode = "External"/><Relationship Id="rId22" Type="http://schemas.openxmlformats.org/officeDocument/2006/relationships/hyperlink" Target="https://login.consultant.ru/link/?req=doc&amp;base=LAW&amp;n=425304&amp;dst=100013" TargetMode = "External"/><Relationship Id="rId23" Type="http://schemas.openxmlformats.org/officeDocument/2006/relationships/hyperlink" Target="https://login.consultant.ru/link/?req=doc&amp;base=LAW&amp;n=462517&amp;dst=100011" TargetMode = "External"/><Relationship Id="rId24" Type="http://schemas.openxmlformats.org/officeDocument/2006/relationships/hyperlink" Target="https://login.consultant.ru/link/?req=doc&amp;base=LAW&amp;n=462517&amp;dst=100013" TargetMode = "External"/><Relationship Id="rId25" Type="http://schemas.openxmlformats.org/officeDocument/2006/relationships/hyperlink" Target="https://login.consultant.ru/link/?req=doc&amp;base=LAW&amp;n=425304&amp;dst=100017" TargetMode = "External"/><Relationship Id="rId26" Type="http://schemas.openxmlformats.org/officeDocument/2006/relationships/hyperlink" Target="https://login.consultant.ru/link/?req=doc&amp;base=LAW&amp;n=494978&amp;dst=100008" TargetMode = "External"/><Relationship Id="rId27" Type="http://schemas.openxmlformats.org/officeDocument/2006/relationships/hyperlink" Target="https://login.consultant.ru/link/?req=doc&amp;base=LAW&amp;n=462517&amp;dst=100015" TargetMode = "External"/><Relationship Id="rId28" Type="http://schemas.openxmlformats.org/officeDocument/2006/relationships/hyperlink" Target="https://login.consultant.ru/link/?req=doc&amp;base=LAW&amp;n=494978&amp;dst=100009" TargetMode = "External"/><Relationship Id="rId29" Type="http://schemas.openxmlformats.org/officeDocument/2006/relationships/hyperlink" Target="https://login.consultant.ru/link/?req=doc&amp;base=LAW&amp;n=462517&amp;dst=100017" TargetMode = "External"/><Relationship Id="rId30" Type="http://schemas.openxmlformats.org/officeDocument/2006/relationships/hyperlink" Target="https://login.consultant.ru/link/?req=doc&amp;base=LAW&amp;n=494978&amp;dst=100010" TargetMode = "External"/><Relationship Id="rId31" Type="http://schemas.openxmlformats.org/officeDocument/2006/relationships/hyperlink" Target="https://login.consultant.ru/link/?req=doc&amp;base=LAW&amp;n=346803&amp;dst=100007" TargetMode = "External"/><Relationship Id="rId32" Type="http://schemas.openxmlformats.org/officeDocument/2006/relationships/hyperlink" Target="https://login.consultant.ru/link/?req=doc&amp;base=LAW&amp;n=425304&amp;dst=100018" TargetMode = "External"/><Relationship Id="rId33" Type="http://schemas.openxmlformats.org/officeDocument/2006/relationships/hyperlink" Target="https://login.consultant.ru/link/?req=doc&amp;base=LAW&amp;n=425304&amp;dst=100020" TargetMode = "External"/><Relationship Id="rId34" Type="http://schemas.openxmlformats.org/officeDocument/2006/relationships/hyperlink" Target="https://login.consultant.ru/link/?req=doc&amp;base=LAW&amp;n=425304&amp;dst=100021" TargetMode = "External"/><Relationship Id="rId35" Type="http://schemas.openxmlformats.org/officeDocument/2006/relationships/hyperlink" Target="https://login.consultant.ru/link/?req=doc&amp;base=LAW&amp;n=372197&amp;dst=100010" TargetMode = "External"/><Relationship Id="rId36" Type="http://schemas.openxmlformats.org/officeDocument/2006/relationships/hyperlink" Target="https://login.consultant.ru/link/?req=doc&amp;base=LAW&amp;n=425304&amp;dst=100022" TargetMode = "External"/><Relationship Id="rId37" Type="http://schemas.openxmlformats.org/officeDocument/2006/relationships/hyperlink" Target="https://login.consultant.ru/link/?req=doc&amp;base=LAW&amp;n=425304&amp;dst=100023" TargetMode = "External"/><Relationship Id="rId38" Type="http://schemas.openxmlformats.org/officeDocument/2006/relationships/hyperlink" Target="https://login.consultant.ru/link/?req=doc&amp;base=LAW&amp;n=374255&amp;dst=100006" TargetMode = "External"/><Relationship Id="rId39" Type="http://schemas.openxmlformats.org/officeDocument/2006/relationships/hyperlink" Target="https://login.consultant.ru/link/?req=doc&amp;base=LAW&amp;n=425304&amp;dst=100024" TargetMode = "External"/><Relationship Id="rId40" Type="http://schemas.openxmlformats.org/officeDocument/2006/relationships/hyperlink" Target="https://login.consultant.ru/link/?req=doc&amp;base=LAW&amp;n=462517&amp;dst=100018" TargetMode = "External"/><Relationship Id="rId41" Type="http://schemas.openxmlformats.org/officeDocument/2006/relationships/hyperlink" Target="https://login.consultant.ru/link/?req=doc&amp;base=LAW&amp;n=425304&amp;dst=100026" TargetMode = "External"/><Relationship Id="rId42" Type="http://schemas.openxmlformats.org/officeDocument/2006/relationships/hyperlink" Target="https://login.consultant.ru/link/?req=doc&amp;base=LAW&amp;n=374255&amp;dst=100007" TargetMode = "External"/><Relationship Id="rId43" Type="http://schemas.openxmlformats.org/officeDocument/2006/relationships/hyperlink" Target="https://login.consultant.ru/link/?req=doc&amp;base=LAW&amp;n=462517&amp;dst=100019" TargetMode = "External"/><Relationship Id="rId44" Type="http://schemas.openxmlformats.org/officeDocument/2006/relationships/hyperlink" Target="https://login.consultant.ru/link/?req=doc&amp;base=LAW&amp;n=462517&amp;dst=100020" TargetMode = "External"/><Relationship Id="rId45" Type="http://schemas.openxmlformats.org/officeDocument/2006/relationships/hyperlink" Target="https://login.consultant.ru/link/?req=doc&amp;base=LAW&amp;n=462517&amp;dst=100022" TargetMode = "External"/><Relationship Id="rId46" Type="http://schemas.openxmlformats.org/officeDocument/2006/relationships/hyperlink" Target="https://login.consultant.ru/link/?req=doc&amp;base=LAW&amp;n=462517&amp;dst=100024" TargetMode = "External"/><Relationship Id="rId47" Type="http://schemas.openxmlformats.org/officeDocument/2006/relationships/hyperlink" Target="https://login.consultant.ru/link/?req=doc&amp;base=LAW&amp;n=346803&amp;dst=100009" TargetMode = "External"/><Relationship Id="rId48" Type="http://schemas.openxmlformats.org/officeDocument/2006/relationships/hyperlink" Target="https://login.consultant.ru/link/?req=doc&amp;base=LAW&amp;n=374255&amp;dst=100009" TargetMode = "External"/><Relationship Id="rId49" Type="http://schemas.openxmlformats.org/officeDocument/2006/relationships/hyperlink" Target="https://login.consultant.ru/link/?req=doc&amp;base=LAW&amp;n=425304&amp;dst=100027" TargetMode = "External"/><Relationship Id="rId50" Type="http://schemas.openxmlformats.org/officeDocument/2006/relationships/hyperlink" Target="https://login.consultant.ru/link/?req=doc&amp;base=LAW&amp;n=436147&amp;dst=100012" TargetMode = "External"/><Relationship Id="rId51" Type="http://schemas.openxmlformats.org/officeDocument/2006/relationships/hyperlink" Target="https://login.consultant.ru/link/?req=doc&amp;base=LAW&amp;n=452497&amp;dst=100006" TargetMode = "External"/><Relationship Id="rId52" Type="http://schemas.openxmlformats.org/officeDocument/2006/relationships/hyperlink" Target="https://login.consultant.ru/link/?req=doc&amp;base=LAW&amp;n=494978&amp;dst=100011"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25.07.2019 N 356
(ред. от 28.12.2024)
"О мерах по развитию синхротронных и нейтронных исследований и исследовательской инфраструктуры в Российской Федерации"
(вместе с "Положением о совете по реализации Федеральной научно-технической программы развития синхротронных и нейтронных исследований и исследовательской инфраструктуры на период до 2030 года и дальнейшую перспективу")</dc:title>
  <dcterms:created xsi:type="dcterms:W3CDTF">2025-08-12T13:03:39Z</dcterms:created>
</cp:coreProperties>
</file>